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spacing w:after="60"/>
        <w:rPr>
          <w:smallCaps w:val="1"/>
          <w:spacing w:val="100"/>
          <w:sz w:val="28"/>
          <w:szCs w:val="28"/>
        </w:rPr>
      </w:pPr>
      <w:bookmarkStart w:name="OLE_LINK10" w:id="0"/>
      <w:r>
        <w:rPr>
          <w:rFonts w:ascii="Times New Roman"/>
          <w:smallCaps w:val="1"/>
          <w:spacing w:val="100"/>
          <w:sz w:val="30"/>
          <w:szCs w:val="30"/>
          <w:rtl w:val="0"/>
          <w:lang w:val="en-US"/>
        </w:rPr>
        <w:t>Kenneth A. O</w:t>
      </w:r>
      <w:r>
        <w:rPr>
          <w:rFonts w:hAnsi="Times New Roman" w:hint="default"/>
          <w:smallCaps w:val="1"/>
          <w:spacing w:val="100"/>
          <w:sz w:val="30"/>
          <w:szCs w:val="30"/>
          <w:rtl w:val="0"/>
          <w:lang w:val="en-US"/>
        </w:rPr>
        <w:t>’</w:t>
      </w:r>
      <w:r>
        <w:rPr>
          <w:rFonts w:ascii="Times New Roman"/>
          <w:smallCaps w:val="1"/>
          <w:spacing w:val="100"/>
          <w:sz w:val="30"/>
          <w:szCs w:val="30"/>
          <w:rtl w:val="0"/>
          <w:lang w:val="en-US"/>
        </w:rPr>
        <w:t>Flaherty</w:t>
      </w:r>
    </w:p>
    <w:p>
      <w:pPr>
        <w:pStyle w:val="Title"/>
        <w:spacing w:after="40"/>
        <w:rPr>
          <w:smallCaps w:val="1"/>
          <w:spacing w:val="30"/>
          <w:sz w:val="23"/>
          <w:szCs w:val="23"/>
        </w:rPr>
      </w:pPr>
      <w:r>
        <w:rPr>
          <w:rFonts w:ascii="Times New Roman"/>
          <w:smallCaps w:val="1"/>
          <w:spacing w:val="30"/>
          <w:sz w:val="23"/>
          <w:szCs w:val="23"/>
          <w:rtl w:val="0"/>
          <w:lang w:val="en-US"/>
        </w:rPr>
        <w:t>115 Marked Tree Road, Needham, MA  02492</w:t>
      </w:r>
    </w:p>
    <w:p>
      <w:pPr>
        <w:pStyle w:val="Title"/>
        <w:rPr>
          <w:spacing w:val="30"/>
          <w:sz w:val="23"/>
          <w:szCs w:val="23"/>
        </w:rPr>
      </w:pPr>
      <w:r>
        <w:rPr>
          <w:rFonts w:ascii="Times New Roman"/>
          <w:smallCaps w:val="1"/>
          <w:spacing w:val="30"/>
          <w:sz w:val="23"/>
          <w:szCs w:val="23"/>
          <w:rtl w:val="0"/>
          <w:lang w:val="en-US"/>
        </w:rPr>
        <w:t>(617) 777-2347   |   koflaher@aya.yale.edu</w:t>
      </w:r>
      <w:bookmarkEnd w:id="0"/>
      <w:r>
        <w:rPr>
          <w:rFonts w:ascii="Times New Roman"/>
          <w:smallCaps w:val="1"/>
          <w:spacing w:val="30"/>
          <w:sz w:val="23"/>
          <w:szCs w:val="23"/>
          <w:rtl w:val="0"/>
          <w:lang w:val="en-US"/>
        </w:rPr>
        <w:t xml:space="preserve"> </w:t>
      </w:r>
      <w:bookmarkStart w:name="OLE_LINK10" w:id="1"/>
      <w:r>
        <w:rPr>
          <w:rFonts w:ascii="Times New Roman"/>
          <w:smallCaps w:val="1"/>
          <w:spacing w:val="30"/>
          <w:sz w:val="23"/>
          <w:szCs w:val="23"/>
          <w:rtl w:val="0"/>
          <w:lang w:val="en-US"/>
        </w:rPr>
        <w:t>|   w</w:t>
      </w:r>
      <w:bookmarkEnd w:id="1"/>
      <w:r>
        <w:rPr>
          <w:rFonts w:ascii="Times New Roman"/>
          <w:smallCaps w:val="1"/>
          <w:spacing w:val="30"/>
          <w:sz w:val="23"/>
          <w:szCs w:val="23"/>
          <w:rtl w:val="0"/>
          <w:lang w:val="en-US"/>
        </w:rPr>
        <w:t>ww.kenoflaherty.com</w:t>
      </w:r>
      <w:bookmarkStart w:name="OLE_LINK15" w:id="2"/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rFonts w:ascii="Times New Roman Bold" w:cs="Times New Roman Bold" w:hAnsi="Times New Roman Bold" w:eastAsia="Times New Roman Bold"/>
          <w:caps w:val="1"/>
          <w:spacing w:val="60"/>
          <w:sz w:val="22"/>
          <w:szCs w:val="22"/>
        </w:rPr>
      </w:pPr>
      <w:bookmarkStart w:name="OLE_LINK6" w:id="3"/>
      <w:r>
        <w:rPr>
          <w:rFonts w:ascii="Times New Roman Bold"/>
          <w:smallCaps w:val="1"/>
          <w:spacing w:val="0"/>
          <w:sz w:val="24"/>
          <w:szCs w:val="24"/>
          <w:rtl w:val="0"/>
          <w:lang w:val="sv-SE"/>
        </w:rPr>
        <w:t>Summary</w:t>
      </w:r>
      <w:bookmarkEnd w:id="3"/>
    </w:p>
    <w:p>
      <w:pPr>
        <w:pStyle w:val="Body A"/>
        <w:jc w:val="center"/>
        <w:rPr>
          <w:sz w:val="16"/>
          <w:szCs w:val="16"/>
        </w:rPr>
      </w:pPr>
      <w:bookmarkStart w:name="OLE_LINK11" w:id="4"/>
    </w:p>
    <w:p>
      <w:pPr>
        <w:pStyle w:val="Body A"/>
        <w:rPr>
          <w:sz w:val="20"/>
          <w:szCs w:val="20"/>
        </w:rPr>
      </w:pPr>
      <w:bookmarkStart w:name="OLE_LINK11" w:id="5"/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 xml:space="preserve">Health Care Marketing and 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 xml:space="preserve">Business Development 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>Executive with exceptional educational background, strong analytical skills and significant accomplishments in leadership positions.  Led product launches in endocrinology, neurology, orthopedics and oral health.  Experienced in a range of professional and patient markets, including primary care, hospital and specialized markets.  Dynamic leader of cross-functional teams, including a variety of co-promote and global environments.</w:t>
      </w:r>
      <w:bookmarkEnd w:id="5"/>
      <w:bookmarkStart w:name="OLE_LINK11" w:id="6"/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rFonts w:ascii="Times New Roman Bold" w:cs="Times New Roman Bold" w:hAnsi="Times New Roman Bold" w:eastAsia="Times New Roman Bold"/>
          <w:caps w:val="1"/>
          <w:spacing w:val="0"/>
        </w:rPr>
      </w:pPr>
      <w:r>
        <w:rPr>
          <w:rFonts w:ascii="Times New Roman Bold"/>
          <w:smallCaps w:val="1"/>
          <w:spacing w:val="0"/>
          <w:sz w:val="24"/>
          <w:szCs w:val="24"/>
          <w:rtl w:val="0"/>
          <w:lang w:val="en-US"/>
        </w:rPr>
        <w:t>Experience</w:t>
      </w:r>
      <w:bookmarkEnd w:id="6"/>
      <w:bookmarkStart w:name="OLE_LINK1" w:id="7"/>
    </w:p>
    <w:p>
      <w:pPr>
        <w:pStyle w:val="Body A"/>
        <w:tabs>
          <w:tab w:val="right" w:pos="9900"/>
        </w:tabs>
        <w:rPr>
          <w:sz w:val="21"/>
          <w:szCs w:val="21"/>
          <w:rtl w:val="0"/>
        </w:rPr>
      </w:pPr>
      <w:bookmarkEnd w:id="7"/>
      <w:r>
        <w:rPr>
          <w:rFonts w:ascii="Times New Roman Bold"/>
          <w:caps w:val="1"/>
          <w:sz w:val="21"/>
          <w:szCs w:val="21"/>
          <w:u w:val="single"/>
          <w:rtl w:val="0"/>
          <w:lang w:val="en-US"/>
        </w:rPr>
        <w:t>RIDGEWAY CONSULTING</w:t>
      </w:r>
      <w:bookmarkEnd w:id="-1"/>
      <w:r>
        <w:rPr>
          <w:sz w:val="21"/>
          <w:szCs w:val="21"/>
          <w:rtl w:val="0"/>
          <w:lang w:val="en-US"/>
        </w:rPr>
        <w:t xml:space="preserve">, </w:t>
      </w:r>
      <w:bookmarkEnd w:id="2"/>
      <w:r>
        <w:rPr>
          <w:sz w:val="21"/>
          <w:szCs w:val="21"/>
          <w:rtl w:val="0"/>
          <w:lang w:val="en-US"/>
        </w:rPr>
        <w:t xml:space="preserve">Easton, MA </w:t>
      </w:r>
      <w:r>
        <w:rPr>
          <w:sz w:val="21"/>
          <w:szCs w:val="21"/>
          <w:rtl w:val="0"/>
        </w:rPr>
        <w:tab/>
        <w:t>2014-Present</w:t>
      </w:r>
    </w:p>
    <w:p>
      <w:pPr>
        <w:pStyle w:val="Body A"/>
        <w:spacing w:before="80"/>
        <w:rPr>
          <w:rFonts w:ascii="Times New Roman Bold" w:cs="Times New Roman Bold" w:hAnsi="Times New Roman Bold" w:eastAsia="Times New Roman Bold"/>
          <w:sz w:val="21"/>
          <w:szCs w:val="21"/>
          <w:rtl w:val="0"/>
        </w:rPr>
      </w:pPr>
      <w:r>
        <w:rPr>
          <w:rFonts w:ascii="Times New Roman Bold"/>
          <w:sz w:val="21"/>
          <w:szCs w:val="21"/>
          <w:rtl w:val="0"/>
          <w:lang w:val="en-US"/>
        </w:rPr>
        <w:t>Marketing Consultant</w:t>
      </w:r>
    </w:p>
    <w:p>
      <w:pPr>
        <w:pStyle w:val="Body A"/>
        <w:rPr>
          <w:sz w:val="21"/>
          <w:szCs w:val="21"/>
          <w:rtl w:val="0"/>
        </w:rPr>
      </w:pP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>C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onsultant for a strategic and technical consulting company focusing on tissue engineering and regenerative medicine.</w:t>
      </w:r>
    </w:p>
    <w:p>
      <w:pPr>
        <w:pStyle w:val="List Paragraph"/>
        <w:numPr>
          <w:ilvl w:val="0"/>
          <w:numId w:val="3"/>
        </w:numPr>
        <w:tabs>
          <w:tab w:val="num" w:pos="537"/>
          <w:tab w:val="left" w:pos="771"/>
          <w:tab w:val="clear" w:pos="486"/>
        </w:tabs>
        <w:bidi w:val="0"/>
        <w:ind w:left="537" w:right="0" w:hanging="411"/>
        <w:jc w:val="left"/>
        <w:rPr>
          <w:b w:val="1"/>
          <w:bCs w:val="1"/>
          <w:i w:val="1"/>
          <w:iCs w:val="1"/>
          <w:caps w:val="1"/>
          <w:spacing w:val="0"/>
          <w:position w:val="0"/>
          <w:sz w:val="24"/>
          <w:szCs w:val="24"/>
          <w:rtl w:val="0"/>
        </w:rPr>
      </w:pPr>
      <w:r>
        <w:rPr>
          <w:rFonts w:ascii="Times New Roman"/>
          <w:b w:val="0"/>
          <w:bCs w:val="0"/>
          <w:i w:val="0"/>
          <w:iCs w:val="0"/>
          <w:sz w:val="21"/>
          <w:szCs w:val="21"/>
          <w:rtl w:val="0"/>
          <w:lang w:val="en-US"/>
        </w:rPr>
        <w:t>Recent engagements include HCP marketing for established nutritional company, market assessment for tissue engineering start-up, and online user experience for regenerative medicine company.</w:t>
      </w:r>
      <w:bookmarkStart w:name="OLE_LINK1" w:id="8"/>
    </w:p>
    <w:p>
      <w:pPr>
        <w:pStyle w:val="Body A"/>
        <w:tabs>
          <w:tab w:val="right" w:pos="9900"/>
        </w:tabs>
        <w:rPr>
          <w:rFonts w:ascii="Times New Roman Bold" w:cs="Times New Roman Bold" w:hAnsi="Times New Roman Bold" w:eastAsia="Times New Roman Bold"/>
          <w:caps w:val="1"/>
          <w:spacing w:val="0"/>
        </w:rPr>
      </w:pP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  <w:u w:val="single"/>
          <w:rtl w:val="0"/>
          <w:lang w:val="en-US"/>
        </w:rPr>
        <w:t>ORGANOGENESIS</w:t>
      </w:r>
      <w:r>
        <w:rPr>
          <w:sz w:val="21"/>
          <w:szCs w:val="21"/>
          <w:rtl w:val="0"/>
          <w:lang w:val="en-US"/>
        </w:rPr>
        <w:t xml:space="preserve">, Canton, MA   </w:t>
        <w:tab/>
        <w:t xml:space="preserve">2009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2014</w:t>
      </w:r>
    </w:p>
    <w:p>
      <w:pPr>
        <w:pStyle w:val="Body A"/>
        <w:spacing w:before="80"/>
        <w:rPr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Director of Marketing, Oral Regeneration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Led commercial launch for Gintuit in oral 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health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.  Gintuit is the first manufactured living cellular product approved by CBER and the first BLA product for Organogenesis.  </w:t>
      </w:r>
      <w:bookmarkEnd w:id="8"/>
      <w:bookmarkStart w:name="OLE_LINK1" w:id="9"/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Supervised Market Research Manager, Business Unit Coordinator and 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Communications 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Director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.</w:t>
      </w:r>
      <w:bookmarkEnd w:id="9"/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  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Achieved 97% approval for Organogenesis and product among target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 clinicians 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within one year.</w:t>
      </w:r>
    </w:p>
    <w:p>
      <w:pPr>
        <w:pStyle w:val="List Paragraph"/>
        <w:numPr>
          <w:ilvl w:val="0"/>
          <w:numId w:val="6"/>
        </w:numPr>
        <w:tabs>
          <w:tab w:val="num" w:pos="627"/>
          <w:tab w:val="left" w:pos="771"/>
          <w:tab w:val="clear" w:pos="576"/>
        </w:tabs>
        <w:bidi w:val="0"/>
        <w:ind w:left="627" w:right="0" w:hanging="411"/>
        <w:jc w:val="left"/>
        <w:rPr>
          <w:i w:val="1"/>
          <w:iCs w:val="1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i w:val="0"/>
          <w:iCs w:val="0"/>
          <w:sz w:val="21"/>
          <w:szCs w:val="21"/>
          <w:rtl w:val="0"/>
          <w:lang w:val="en-US"/>
        </w:rPr>
        <w:t>Launched Gintuit in United States in March 2012 targeted towards periodontists and oral surgeons.  Developed branding, positioning and messaging as well as pricing, reimbursement, KOL, eCommerce and publication strategy.</w:t>
      </w:r>
    </w:p>
    <w:p>
      <w:pPr>
        <w:pStyle w:val="List Paragraph"/>
        <w:numPr>
          <w:ilvl w:val="0"/>
          <w:numId w:val="9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  <w:lang w:val="en-US"/>
        </w:rPr>
      </w:pPr>
      <w:r>
        <w:rPr>
          <w:sz w:val="21"/>
          <w:szCs w:val="21"/>
          <w:rtl w:val="0"/>
          <w:lang w:val="en-US"/>
        </w:rPr>
        <w:t>Led professional promotions delivered by a specialty sales force of 7 representatives.  Designed and executed marketing programs, including product website, social media plan, online speaking programs and conference strategies.</w:t>
      </w:r>
    </w:p>
    <w:p>
      <w:pPr>
        <w:pStyle w:val="List Paragraph"/>
        <w:numPr>
          <w:ilvl w:val="0"/>
          <w:numId w:val="12"/>
        </w:numPr>
        <w:tabs>
          <w:tab w:val="num" w:pos="627"/>
          <w:tab w:val="left" w:pos="771"/>
          <w:tab w:val="clear" w:pos="576"/>
        </w:tabs>
        <w:bidi w:val="0"/>
        <w:ind w:left="627" w:right="0" w:hanging="411"/>
        <w:jc w:val="left"/>
        <w:rPr>
          <w:i w:val="1"/>
          <w:iCs w:val="1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i w:val="0"/>
          <w:iCs w:val="0"/>
          <w:sz w:val="21"/>
          <w:szCs w:val="21"/>
          <w:rtl w:val="0"/>
          <w:lang w:val="en-US"/>
        </w:rPr>
        <w:t>Led direct to patient programming through online efforts in partnership with leading dental offices.</w:t>
      </w:r>
    </w:p>
    <w:p>
      <w:pPr>
        <w:pStyle w:val="List Paragraph"/>
        <w:numPr>
          <w:ilvl w:val="0"/>
          <w:numId w:val="15"/>
        </w:numPr>
        <w:tabs>
          <w:tab w:val="num" w:pos="627"/>
          <w:tab w:val="left" w:pos="771"/>
          <w:tab w:val="clear" w:pos="576"/>
        </w:tabs>
        <w:suppressAutoHyphens w:val="1"/>
        <w:ind w:left="627" w:hanging="411"/>
        <w:rPr>
          <w:position w:val="0"/>
          <w:sz w:val="24"/>
          <w:szCs w:val="24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Led corporate market research in dentistry and wound care, with annual research budget over $1 million.</w:t>
      </w:r>
    </w:p>
    <w:p>
      <w:pPr>
        <w:pStyle w:val="List Paragraph"/>
        <w:tabs>
          <w:tab w:val="left" w:pos="771"/>
        </w:tabs>
        <w:suppressAutoHyphens w:val="1"/>
        <w:ind w:left="0" w:firstLine="0"/>
        <w:rPr>
          <w:sz w:val="21"/>
          <w:szCs w:val="21"/>
        </w:rPr>
      </w:pPr>
    </w:p>
    <w:p>
      <w:pPr>
        <w:pStyle w:val="Body A"/>
        <w:rPr>
          <w:sz w:val="21"/>
          <w:szCs w:val="21"/>
        </w:rPr>
      </w:pPr>
      <w:r>
        <w:rPr>
          <w:rFonts w:ascii="Times New Roman" w:cs="Arial Unicode MS" w:hAnsi="Arial Unicode MS" w:eastAsia="Arial Unicode MS"/>
          <w:sz w:val="21"/>
          <w:szCs w:val="21"/>
          <w:u w:val="single"/>
          <w:rtl w:val="0"/>
          <w:lang w:val="en-US"/>
        </w:rPr>
        <w:t>STRYKER BIOTECH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 xml:space="preserve">, Hopkinton, MA   </w:t>
        <w:tab/>
        <w:tab/>
        <w:tab/>
        <w:tab/>
        <w:tab/>
        <w:tab/>
        <w:tab/>
        <w:tab/>
        <w:t xml:space="preserve">2005 </w:t>
      </w:r>
      <w:r>
        <w:rPr>
          <w:rFonts w:ascii="Arial Unicode MS" w:cs="Arial Unicode MS" w:hAnsi="Times New Roman" w:eastAsia="Arial Unicode MS" w:hint="default"/>
          <w:sz w:val="21"/>
          <w:szCs w:val="21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>2009</w:t>
      </w:r>
    </w:p>
    <w:p>
      <w:pPr>
        <w:pStyle w:val="Body A"/>
        <w:spacing w:before="80"/>
        <w:rPr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Senior Director, Strategic Marketing</w:t>
      </w:r>
      <w:r>
        <w:rPr>
          <w:sz w:val="21"/>
          <w:szCs w:val="21"/>
          <w:rtl w:val="0"/>
          <w:lang w:val="en-US"/>
        </w:rPr>
        <w:t xml:space="preserve">   (2008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2009)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Senior Strategist for a division of Stryker focusing on OP-1 (rhBMP-7), a growth factor in multiple regenerative systems.  Position encompassed business development, program management, and business analytics including supervision of two program management team leaders and one business analytics manager.</w:t>
      </w:r>
    </w:p>
    <w:p>
      <w:pPr>
        <w:pStyle w:val="Body A"/>
        <w:numPr>
          <w:ilvl w:val="0"/>
          <w:numId w:val="18"/>
        </w:numPr>
        <w:tabs>
          <w:tab w:val="num" w:pos="627"/>
          <w:tab w:val="left" w:pos="771"/>
          <w:tab w:val="clear" w:pos="576"/>
        </w:tabs>
        <w:spacing w:before="60"/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Developed and gained board approval for global strategy, including forecasting existing and upstream markets.</w:t>
      </w:r>
    </w:p>
    <w:p>
      <w:pPr>
        <w:pStyle w:val="Body A"/>
        <w:numPr>
          <w:ilvl w:val="0"/>
          <w:numId w:val="21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Managed divisional business development, including in-licensing formulation and platform technologies and out-licensing of non-core indications; consulted on corporate-wide business development initiatives.</w:t>
      </w:r>
    </w:p>
    <w:p>
      <w:pPr>
        <w:pStyle w:val="Body A"/>
        <w:numPr>
          <w:ilvl w:val="0"/>
          <w:numId w:val="24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Headed program management and market research groups.  Ensured upstream development programs complied with both drug and device design control regulations.</w:t>
      </w:r>
    </w:p>
    <w:p>
      <w:pPr>
        <w:pStyle w:val="Body A"/>
        <w:rPr>
          <w:sz w:val="16"/>
          <w:szCs w:val="16"/>
        </w:rPr>
      </w:pPr>
    </w:p>
    <w:p>
      <w:pPr>
        <w:pStyle w:val="Body A"/>
        <w:rPr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Director, Global Marketing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 xml:space="preserve">   (2005 </w:t>
      </w:r>
      <w:r>
        <w:rPr>
          <w:rFonts w:ascii="Arial Unicode MS" w:cs="Arial Unicode MS" w:hAnsi="Times New Roman" w:eastAsia="Arial Unicode MS" w:hint="default"/>
          <w:sz w:val="21"/>
          <w:szCs w:val="21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>2008)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Led OP-1 product team, including three product managers and a business analytics manager.  OP-1 is approved as a drug in Europe, Australia, and Canada and as a humanitarian device in the US for trauma and spine applications.</w:t>
      </w:r>
    </w:p>
    <w:p>
      <w:pPr>
        <w:pStyle w:val="Body A"/>
        <w:numPr>
          <w:ilvl w:val="0"/>
          <w:numId w:val="27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Drove the global OP-1 brand identity and planned global launch for spinal fusion.</w:t>
      </w:r>
    </w:p>
    <w:p>
      <w:pPr>
        <w:pStyle w:val="Body A"/>
        <w:numPr>
          <w:ilvl w:val="0"/>
          <w:numId w:val="30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Coordinated Global sales among 14 countries / regions, which indexed at 121 versus budget.  Led US promotional efforts, delivered by 34 Biotech representatives calling on orthopedic surgeons and neurosurgeons.</w:t>
      </w:r>
    </w:p>
    <w:p>
      <w:pPr>
        <w:pStyle w:val="Body A"/>
        <w:numPr>
          <w:ilvl w:val="0"/>
          <w:numId w:val="33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Led global marketing efforts for Calstrux, a bone void filler approved as a 510(k) device.</w:t>
      </w:r>
    </w:p>
    <w:p>
      <w:pPr>
        <w:pStyle w:val="Body A"/>
        <w:rPr>
          <w:sz w:val="16"/>
          <w:szCs w:val="16"/>
        </w:rPr>
      </w:pPr>
    </w:p>
    <w:p>
      <w:pPr>
        <w:pStyle w:val="Body A"/>
        <w:tabs>
          <w:tab w:val="right" w:pos="9900"/>
        </w:tabs>
        <w:rPr>
          <w:sz w:val="21"/>
          <w:szCs w:val="21"/>
          <w:u w:val="single"/>
        </w:rPr>
      </w:pPr>
      <w:r>
        <w:rPr>
          <w:sz w:val="21"/>
          <w:szCs w:val="21"/>
          <w:u w:val="single"/>
          <w:rtl w:val="0"/>
          <w:lang w:val="en-US"/>
        </w:rPr>
        <w:t xml:space="preserve">SERONO, INC, Rockland, MA </w:t>
      </w:r>
      <w:r>
        <w:rPr>
          <w:sz w:val="21"/>
          <w:szCs w:val="21"/>
          <w:u w:val="none"/>
          <w:rtl w:val="0"/>
          <w:lang w:val="en-US"/>
        </w:rPr>
        <w:t xml:space="preserve">  </w:t>
        <w:tab/>
        <w:t xml:space="preserve">2004 </w:t>
      </w:r>
      <w:r>
        <w:rPr>
          <w:sz w:val="21"/>
          <w:szCs w:val="21"/>
          <w:u w:val="none"/>
          <w:rtl w:val="0"/>
          <w:lang w:val="en-US"/>
        </w:rPr>
        <w:t xml:space="preserve">– </w:t>
      </w:r>
      <w:r>
        <w:rPr>
          <w:sz w:val="21"/>
          <w:szCs w:val="21"/>
          <w:u w:val="none"/>
          <w:rtl w:val="0"/>
          <w:lang w:val="en-US"/>
        </w:rPr>
        <w:t>2005</w:t>
      </w:r>
    </w:p>
    <w:p>
      <w:pPr>
        <w:pStyle w:val="Body A"/>
        <w:rPr>
          <w:rFonts w:ascii="Times New Roman Bold" w:cs="Times New Roman Bold" w:hAnsi="Times New Roman Bold" w:eastAsia="Times New Roman Bold"/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 xml:space="preserve">Executive Marketing Director, Neurology   </w:t>
      </w:r>
      <w:r>
        <w:rPr>
          <w:rFonts w:ascii="Times New Roman Bold"/>
          <w:sz w:val="21"/>
          <w:szCs w:val="21"/>
          <w:rtl w:val="0"/>
          <w:lang w:val="en-US"/>
        </w:rPr>
        <w:t>(2005)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Led Professional and Consumer marketing for Sermon</w:t>
      </w:r>
      <w:r>
        <w:rPr>
          <w:rFonts w:ascii="Arial Unicode MS" w:cs="Arial Unicode MS" w:hAnsi="Times New Roman" w:eastAsia="Arial Unicode MS" w:hint="default"/>
          <w:i w:val="1"/>
          <w:iCs w:val="1"/>
          <w:sz w:val="21"/>
          <w:szCs w:val="21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s multiple sclerosis franchise, including Novantrone and Rebif, co-promoted with Pfizer.  Supervised six product managers and three administrative personnel; managed $26 million budget.</w:t>
      </w:r>
    </w:p>
    <w:p>
      <w:pPr>
        <w:pStyle w:val="Body A"/>
        <w:numPr>
          <w:ilvl w:val="0"/>
          <w:numId w:val="36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Led professional and patient promotional efforts in MS supported by 110 Serono and 150 Pfizer representatives.  Promotional mix included KOL and advocacy organization development, direct mail and E-detailing.</w:t>
      </w:r>
    </w:p>
    <w:p>
      <w:pPr>
        <w:pStyle w:val="Body A"/>
        <w:numPr>
          <w:ilvl w:val="0"/>
          <w:numId w:val="39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Led digital marketing team for neurology franchise focused on professional and patient reach and conversion programs.  Aligned IT, sales operations (CRM) and marketing efforts into single digital strategy.</w:t>
      </w:r>
    </w:p>
    <w:p>
      <w:pPr>
        <w:pStyle w:val="Body A"/>
        <w:numPr>
          <w:ilvl w:val="0"/>
          <w:numId w:val="42"/>
        </w:numPr>
        <w:tabs>
          <w:tab w:val="num" w:pos="627"/>
          <w:tab w:val="left" w:pos="771"/>
          <w:tab w:val="clear" w:pos="576"/>
        </w:tabs>
        <w:ind w:left="627" w:hanging="411"/>
        <w:rPr>
          <w:position w:val="0"/>
          <w:sz w:val="24"/>
          <w:szCs w:val="24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Chaired 2005 and 2006 Co-promote Business Plans, coordinating all strategic planning for Rebif across multiple functions between Serono and Pfizer.</w:t>
      </w:r>
    </w:p>
    <w:p>
      <w:pPr>
        <w:pStyle w:val="Body A"/>
        <w:tabs>
          <w:tab w:val="right" w:pos="9900"/>
        </w:tabs>
        <w:rPr>
          <w:sz w:val="16"/>
          <w:szCs w:val="16"/>
        </w:rPr>
      </w:pPr>
      <w:bookmarkStart w:name="OLE_LINK1" w:id="10"/>
      <w:r>
        <w:rPr>
          <w:sz w:val="21"/>
          <w:szCs w:val="21"/>
          <w:u w:val="single"/>
          <w:rtl w:val="0"/>
          <w:lang w:val="en-US"/>
        </w:rPr>
        <w:t>SERONO, INC</w:t>
      </w:r>
      <w:r>
        <w:rPr>
          <w:sz w:val="21"/>
          <w:szCs w:val="21"/>
          <w:rtl w:val="0"/>
          <w:lang w:val="sv-SE"/>
        </w:rPr>
        <w:t>, Rockland, MA (cont)</w:t>
      </w:r>
    </w:p>
    <w:p>
      <w:pPr>
        <w:pStyle w:val="Body A"/>
        <w:rPr>
          <w:rFonts w:ascii="Times New Roman Bold" w:cs="Times New Roman Bold" w:hAnsi="Times New Roman Bold" w:eastAsia="Times New Roman Bold"/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Director, Consumer Marketing, Neurology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 xml:space="preserve">   (2004 </w:t>
      </w:r>
      <w:r>
        <w:rPr>
          <w:rFonts w:ascii="Arial Unicode MS" w:cs="Arial Unicode MS" w:hAnsi="Times New Roman" w:eastAsia="Arial Unicode MS" w:hint="default"/>
          <w:sz w:val="21"/>
          <w:szCs w:val="21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>2005)</w:t>
      </w:r>
    </w:p>
    <w:p>
      <w:pPr>
        <w:pStyle w:val="Body A"/>
        <w:numPr>
          <w:ilvl w:val="0"/>
          <w:numId w:val="45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Initiated novel Relationship Marketing program to provide personalized stream of communication to identify, convert and retain people with MS and their caregivers.</w:t>
      </w:r>
    </w:p>
    <w:p>
      <w:pPr>
        <w:pStyle w:val="Body A"/>
        <w:numPr>
          <w:ilvl w:val="0"/>
          <w:numId w:val="48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 xml:space="preserve">Led online patient marketing efforts, including partnerships with key </w:t>
      </w:r>
      <w:r>
        <w:rPr>
          <w:sz w:val="21"/>
          <w:szCs w:val="21"/>
          <w:rtl w:val="0"/>
          <w:lang w:val="en-US"/>
        </w:rPr>
        <w:t>‘</w:t>
      </w:r>
      <w:r>
        <w:rPr>
          <w:sz w:val="21"/>
          <w:szCs w:val="21"/>
          <w:rtl w:val="0"/>
          <w:lang w:val="en-US"/>
        </w:rPr>
        <w:t>point of information</w:t>
      </w:r>
      <w:r>
        <w:rPr>
          <w:sz w:val="21"/>
          <w:szCs w:val="21"/>
          <w:rtl w:val="0"/>
          <w:lang w:val="en-US"/>
        </w:rPr>
        <w:t xml:space="preserve">’ </w:t>
      </w:r>
      <w:r>
        <w:rPr>
          <w:sz w:val="21"/>
          <w:szCs w:val="21"/>
          <w:rtl w:val="0"/>
          <w:lang w:val="en-US"/>
        </w:rPr>
        <w:t>portals including WebMD, MS Society, and patient forums.</w:t>
      </w:r>
    </w:p>
    <w:p>
      <w:pPr>
        <w:pStyle w:val="Body A"/>
        <w:numPr>
          <w:ilvl w:val="0"/>
          <w:numId w:val="51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Directed network of live event programming and facilitated outreach efforts of 70 Rebif Ambassadors, including celebrity Ambassadors Teri Garr and Rain Pryor.</w:t>
      </w:r>
    </w:p>
    <w:p>
      <w:pPr>
        <w:pStyle w:val="Body A"/>
        <w:tabs>
          <w:tab w:val="right" w:pos="9900"/>
        </w:tabs>
        <w:rPr>
          <w:sz w:val="21"/>
          <w:szCs w:val="21"/>
        </w:rPr>
      </w:pP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  <w:u w:val="single"/>
          <w:rtl w:val="0"/>
          <w:lang w:val="en-US"/>
        </w:rPr>
        <w:t>UCB PHARMA, INC</w:t>
      </w:r>
      <w:r>
        <w:rPr>
          <w:sz w:val="21"/>
          <w:szCs w:val="21"/>
          <w:rtl w:val="0"/>
          <w:lang w:val="en-US"/>
        </w:rPr>
        <w:t xml:space="preserve">, Atlanta, GA   </w:t>
        <w:tab/>
        <w:t xml:space="preserve">2000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2004</w:t>
      </w:r>
    </w:p>
    <w:p>
      <w:pPr>
        <w:pStyle w:val="Body A"/>
        <w:spacing w:before="80"/>
        <w:rPr>
          <w:rFonts w:ascii="Times New Roman Bold" w:cs="Times New Roman Bold" w:hAnsi="Times New Roman Bold" w:eastAsia="Times New Roman Bold"/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Group Product Director, CNS</w:t>
      </w:r>
      <w:r>
        <w:rPr>
          <w:sz w:val="21"/>
          <w:szCs w:val="21"/>
          <w:rtl w:val="0"/>
          <w:lang w:val="en-US"/>
        </w:rPr>
        <w:t xml:space="preserve">   (2001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2004)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Profit and loss responsibility for Keppra in the United States.  Budget of $45 million included: promotions, public relations, market research and medical affairs development, including US Phase IV research.  Keppra posted US sales of $290 million in 2003 and reached $1.1 billion globally in 2007.  </w:t>
      </w:r>
      <w:bookmarkEnd w:id="10"/>
      <w:bookmarkStart w:name="OLE_LINK1" w:id="11"/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 xml:space="preserve">Managed four product managers and one brand administrator. </w:t>
      </w:r>
      <w:bookmarkEnd w:id="11"/>
      <w:bookmarkStart w:name="OLE_LINK1" w:id="12"/>
    </w:p>
    <w:p>
      <w:pPr>
        <w:pStyle w:val="Body A"/>
        <w:numPr>
          <w:ilvl w:val="0"/>
          <w:numId w:val="54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Established Keppra as number one second generation drug for epilepsy within three years of launch.</w:t>
      </w:r>
    </w:p>
    <w:p>
      <w:pPr>
        <w:pStyle w:val="Body A"/>
        <w:numPr>
          <w:ilvl w:val="0"/>
          <w:numId w:val="57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Achieved 93% formulary coverage, despite availability of multiple generic alternatives.</w:t>
      </w:r>
    </w:p>
    <w:p>
      <w:pPr>
        <w:pStyle w:val="Body A"/>
        <w:numPr>
          <w:ilvl w:val="0"/>
          <w:numId w:val="60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Acted as lead market for Global planning in upstream development for racetam platform products in several neurological and psychiatric indications.</w:t>
      </w:r>
    </w:p>
    <w:p>
      <w:pPr>
        <w:pStyle w:val="Body A"/>
        <w:rPr>
          <w:sz w:val="21"/>
          <w:szCs w:val="21"/>
        </w:rPr>
      </w:pPr>
    </w:p>
    <w:p>
      <w:pPr>
        <w:pStyle w:val="Body A"/>
        <w:rPr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Senior Product Manager, Zyrtec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 xml:space="preserve">   (2000 </w:t>
      </w:r>
      <w:r>
        <w:rPr>
          <w:rFonts w:ascii="Arial Unicode MS" w:cs="Arial Unicode MS" w:hAnsi="Times New Roman" w:eastAsia="Arial Unicode MS" w:hint="default"/>
          <w:sz w:val="21"/>
          <w:szCs w:val="21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>2001)</w:t>
      </w:r>
    </w:p>
    <w:p>
      <w:pPr>
        <w:pStyle w:val="Body A"/>
        <w:rPr>
          <w:b w:val="1"/>
          <w:bCs w:val="1"/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Represented UCB Pharma on Pfizer marketing team for the best selling antihistamine in the world.  Zyrtec achieved 2001 US sales of $860 million and over $1.2 billion in 2003.</w:t>
      </w:r>
    </w:p>
    <w:p>
      <w:pPr>
        <w:pStyle w:val="Body A"/>
        <w:numPr>
          <w:ilvl w:val="0"/>
          <w:numId w:val="63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Acted as Pfizer Product Manager, spending 50% of time at Pfizer headquarters.</w:t>
      </w:r>
    </w:p>
    <w:p>
      <w:pPr>
        <w:pStyle w:val="Body A"/>
        <w:numPr>
          <w:ilvl w:val="0"/>
          <w:numId w:val="66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Managed all marketing communication to UCB</w:t>
      </w:r>
      <w:r>
        <w:rPr>
          <w:sz w:val="21"/>
          <w:szCs w:val="21"/>
          <w:rtl w:val="0"/>
          <w:lang w:val="en-US"/>
        </w:rPr>
        <w:t>’</w:t>
      </w:r>
      <w:r>
        <w:rPr>
          <w:sz w:val="21"/>
          <w:szCs w:val="21"/>
          <w:rtl w:val="0"/>
          <w:lang w:val="en-US"/>
        </w:rPr>
        <w:t>s field sales force that included 450 Primary Care sales representatives and five managed care managers.</w:t>
      </w:r>
    </w:p>
    <w:p>
      <w:pPr>
        <w:pStyle w:val="Body A"/>
        <w:numPr>
          <w:ilvl w:val="0"/>
          <w:numId w:val="69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Integrated and rationalized Global UCB research and strategic planning efforts with Pfizer activities.  Gained agreement to annual business plan from UCB Pharma</w:t>
      </w:r>
      <w:r>
        <w:rPr>
          <w:sz w:val="21"/>
          <w:szCs w:val="21"/>
          <w:rtl w:val="0"/>
          <w:lang w:val="en-US"/>
        </w:rPr>
        <w:t>’</w:t>
      </w:r>
      <w:r>
        <w:rPr>
          <w:sz w:val="21"/>
          <w:szCs w:val="21"/>
          <w:rtl w:val="0"/>
          <w:lang w:val="en-US"/>
        </w:rPr>
        <w:t>s Director General.</w:t>
      </w:r>
    </w:p>
    <w:p>
      <w:pPr>
        <w:pStyle w:val="Body A"/>
        <w:rPr>
          <w:sz w:val="21"/>
          <w:szCs w:val="21"/>
        </w:rPr>
      </w:pP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  <w:u w:val="single"/>
          <w:rtl w:val="0"/>
          <w:lang w:val="en-US"/>
        </w:rPr>
        <w:t>THE PROCTER &amp; GAMBLE COMPANY</w:t>
      </w:r>
      <w:r>
        <w:rPr>
          <w:sz w:val="21"/>
          <w:szCs w:val="21"/>
          <w:rtl w:val="0"/>
          <w:lang w:val="en-US"/>
        </w:rPr>
        <w:t xml:space="preserve">, Cincinnati, OH   </w:t>
        <w:tab/>
        <w:t xml:space="preserve">1997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2000</w:t>
      </w:r>
    </w:p>
    <w:p>
      <w:pPr>
        <w:pStyle w:val="Body A"/>
        <w:spacing w:before="80"/>
        <w:rPr>
          <w:rFonts w:ascii="Times New Roman Bold" w:cs="Times New Roman Bold" w:hAnsi="Times New Roman Bold" w:eastAsia="Times New Roman Bold"/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Assistant Brand Manager, Actonel</w:t>
      </w:r>
      <w:r>
        <w:rPr>
          <w:sz w:val="21"/>
          <w:szCs w:val="21"/>
          <w:rtl w:val="0"/>
          <w:lang w:val="en-US"/>
        </w:rPr>
        <w:t xml:space="preserve">   (1998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2000)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Senior ABM for the P&amp;G</w:t>
      </w:r>
      <w:r>
        <w:rPr>
          <w:rFonts w:ascii="Arial Unicode MS" w:cs="Arial Unicode MS" w:hAnsi="Times New Roman" w:eastAsia="Arial Unicode MS" w:hint="default"/>
          <w:i w:val="1"/>
          <w:iCs w:val="1"/>
          <w:sz w:val="21"/>
          <w:szCs w:val="21"/>
          <w:rtl w:val="0"/>
          <w:lang w:val="fr-FR"/>
        </w:rPr>
        <w:t>’</w:t>
      </w: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s largest pharmaceutical launch, co-marketed with Sanofi-Aventis, with peak sales over $1 billion globally.  Oversaw $11 million media planning budget and managed an external advertising agency.</w:t>
      </w:r>
    </w:p>
    <w:p>
      <w:pPr>
        <w:pStyle w:val="Body A"/>
        <w:numPr>
          <w:ilvl w:val="0"/>
          <w:numId w:val="72"/>
        </w:numPr>
        <w:tabs>
          <w:tab w:val="num" w:pos="830"/>
          <w:tab w:val="clear" w:pos="771"/>
        </w:tabs>
        <w:ind w:left="830" w:hanging="470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Led  professional copy and marketing material development.</w:t>
      </w:r>
    </w:p>
    <w:p>
      <w:pPr>
        <w:pStyle w:val="Body A"/>
        <w:numPr>
          <w:ilvl w:val="0"/>
          <w:numId w:val="75"/>
        </w:numPr>
        <w:tabs>
          <w:tab w:val="num" w:pos="830"/>
          <w:tab w:val="clear" w:pos="771"/>
        </w:tabs>
        <w:ind w:left="830" w:hanging="470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Launched Actonel for Paget</w:t>
      </w:r>
      <w:r>
        <w:rPr>
          <w:sz w:val="21"/>
          <w:szCs w:val="21"/>
          <w:rtl w:val="0"/>
          <w:lang w:val="en-US"/>
        </w:rPr>
        <w:t>’</w:t>
      </w:r>
      <w:r>
        <w:rPr>
          <w:sz w:val="21"/>
          <w:szCs w:val="21"/>
          <w:rtl w:val="0"/>
          <w:lang w:val="en-US"/>
        </w:rPr>
        <w:t>s Disease, a rare bone metabolic disorder.  Achieved 130% of forecast through management of all aspects of drug launch.</w:t>
      </w:r>
    </w:p>
    <w:p>
      <w:pPr>
        <w:pStyle w:val="Body A"/>
        <w:numPr>
          <w:ilvl w:val="0"/>
          <w:numId w:val="78"/>
        </w:numPr>
        <w:tabs>
          <w:tab w:val="num" w:pos="830"/>
          <w:tab w:val="clear" w:pos="771"/>
        </w:tabs>
        <w:ind w:left="830" w:hanging="470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Developed and gained broad alignment to ten year US sales forecast which boosted project NPV by $80 million.</w:t>
      </w:r>
    </w:p>
    <w:p>
      <w:pPr>
        <w:pStyle w:val="Body A"/>
        <w:rPr>
          <w:sz w:val="21"/>
          <w:szCs w:val="21"/>
        </w:rPr>
      </w:pPr>
    </w:p>
    <w:p>
      <w:pPr>
        <w:pStyle w:val="Body A"/>
        <w:rPr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Assistant Brand Manager, Macrobid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 xml:space="preserve">   (1997 </w:t>
      </w:r>
      <w:r>
        <w:rPr>
          <w:rFonts w:ascii="Arial Unicode MS" w:cs="Arial Unicode MS" w:hAnsi="Times New Roman" w:eastAsia="Arial Unicode MS" w:hint="default"/>
          <w:sz w:val="21"/>
          <w:szCs w:val="21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sz w:val="21"/>
          <w:szCs w:val="21"/>
          <w:rtl w:val="0"/>
          <w:lang w:val="en-US"/>
        </w:rPr>
        <w:t>1998)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Built marketing efforts for $70 million anti-infective for the treatment of urinary tract infections.</w:t>
      </w:r>
    </w:p>
    <w:p>
      <w:pPr>
        <w:pStyle w:val="Body A"/>
        <w:numPr>
          <w:ilvl w:val="0"/>
          <w:numId w:val="81"/>
        </w:numPr>
        <w:tabs>
          <w:tab w:val="num" w:pos="771"/>
          <w:tab w:val="clear" w:pos="720"/>
        </w:tabs>
        <w:ind w:left="771" w:hanging="411"/>
        <w:rPr>
          <w:position w:val="0"/>
          <w:sz w:val="24"/>
          <w:szCs w:val="24"/>
        </w:rPr>
      </w:pPr>
      <w:r>
        <w:rPr>
          <w:sz w:val="21"/>
          <w:szCs w:val="21"/>
          <w:rtl w:val="0"/>
          <w:lang w:val="en-US"/>
        </w:rPr>
        <w:t>Generated a 5% growth increase in the base business through migration from core equity to resistance message.  Target audience indexed at 108 in a flat market against generic competition.</w:t>
      </w:r>
    </w:p>
    <w:p>
      <w:pPr>
        <w:pStyle w:val="Body A"/>
        <w:rPr>
          <w:sz w:val="21"/>
          <w:szCs w:val="21"/>
        </w:rPr>
      </w:pP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  <w:u w:val="single"/>
          <w:rtl w:val="0"/>
          <w:lang w:val="en-US"/>
        </w:rPr>
        <w:t>ENVIRONMENTAL DESIGN GROUP</w:t>
      </w:r>
      <w:r>
        <w:rPr>
          <w:sz w:val="21"/>
          <w:szCs w:val="21"/>
          <w:rtl w:val="0"/>
          <w:lang w:val="en-US"/>
        </w:rPr>
        <w:t xml:space="preserve">, Atlanta, GA   </w:t>
        <w:tab/>
        <w:t xml:space="preserve">1993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1995</w:t>
      </w:r>
    </w:p>
    <w:p>
      <w:pPr>
        <w:pStyle w:val="Body A"/>
        <w:spacing w:before="80"/>
        <w:rPr>
          <w:rFonts w:ascii="Times New Roman Bold" w:cs="Times New Roman Bold" w:hAnsi="Times New Roman Bold" w:eastAsia="Times New Roman Bold"/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Sales and Marketing Associate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Sold $1 million in contracts for a landscape design, build and maintenance firm with annual sales of $5.7 million.</w:t>
      </w:r>
    </w:p>
    <w:p>
      <w:pPr>
        <w:pStyle w:val="Body A"/>
        <w:rPr>
          <w:sz w:val="21"/>
          <w:szCs w:val="21"/>
        </w:rPr>
      </w:pP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  <w:u w:val="single"/>
          <w:rtl w:val="0"/>
          <w:lang w:val="en-US"/>
        </w:rPr>
        <w:t>LONGMAN ELT PUBLISHING</w:t>
      </w:r>
      <w:r>
        <w:rPr>
          <w:sz w:val="21"/>
          <w:szCs w:val="21"/>
          <w:rtl w:val="0"/>
          <w:lang w:val="en-US"/>
        </w:rPr>
        <w:t xml:space="preserve">, Tokyo, Japan   </w:t>
        <w:tab/>
        <w:t xml:space="preserve">1991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1993</w:t>
      </w:r>
    </w:p>
    <w:p>
      <w:pPr>
        <w:pStyle w:val="Body A"/>
        <w:spacing w:before="80"/>
        <w:rPr>
          <w:rFonts w:ascii="Times New Roman Bold" w:cs="Times New Roman Bold" w:hAnsi="Times New Roman Bold" w:eastAsia="Times New Roman Bold"/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Marketing Representative</w:t>
      </w:r>
    </w:p>
    <w:p>
      <w:pPr>
        <w:pStyle w:val="Body A"/>
        <w:rPr>
          <w:i w:val="1"/>
          <w:iCs w:val="1"/>
          <w:sz w:val="21"/>
          <w:szCs w:val="21"/>
        </w:rPr>
      </w:pPr>
      <w:r>
        <w:rPr>
          <w:rFonts w:ascii="Times New Roman" w:cs="Arial Unicode MS" w:hAnsi="Arial Unicode MS" w:eastAsia="Arial Unicode MS"/>
          <w:i w:val="1"/>
          <w:iCs w:val="1"/>
          <w:sz w:val="21"/>
          <w:szCs w:val="21"/>
          <w:rtl w:val="0"/>
          <w:lang w:val="en-US"/>
        </w:rPr>
        <w:t>Promoted English Language Teaching textbooks for a British publishing company.</w:t>
      </w:r>
    </w:p>
    <w:p>
      <w:pPr>
        <w:pStyle w:val="Body A"/>
        <w:jc w:val="center"/>
        <w:rPr>
          <w:i w:val="1"/>
          <w:iCs w:val="1"/>
          <w:sz w:val="21"/>
          <w:szCs w:val="21"/>
        </w:rPr>
      </w:pPr>
    </w:p>
    <w:p>
      <w:pPr>
        <w:pStyle w:val="Body A"/>
        <w:jc w:val="center"/>
        <w:rPr>
          <w:rFonts w:ascii="Times New Roman Bold" w:cs="Times New Roman Bold" w:hAnsi="Times New Roman Bold" w:eastAsia="Times New Roman Bold"/>
          <w:caps w:val="1"/>
          <w:spacing w:val="0"/>
        </w:rPr>
      </w:pPr>
      <w:bookmarkStart w:name="OLE_LINK13" w:id="13"/>
      <w:r>
        <w:rPr>
          <w:rFonts w:ascii="Times New Roman Bold"/>
          <w:smallCaps w:val="1"/>
          <w:spacing w:val="0"/>
          <w:sz w:val="24"/>
          <w:szCs w:val="24"/>
          <w:rtl w:val="0"/>
          <w:lang w:val="en-US"/>
        </w:rPr>
        <w:t>Education</w:t>
      </w:r>
      <w:bookmarkEnd w:id="13"/>
    </w:p>
    <w:p>
      <w:pPr>
        <w:pStyle w:val="Body A"/>
        <w:tabs>
          <w:tab w:val="right" w:pos="9900"/>
        </w:tabs>
        <w:rPr>
          <w:sz w:val="21"/>
          <w:szCs w:val="21"/>
        </w:rPr>
      </w:pPr>
      <w:bookmarkEnd w:id="12"/>
      <w:r>
        <w:rPr>
          <w:sz w:val="21"/>
          <w:szCs w:val="21"/>
          <w:rtl w:val="0"/>
          <w:lang w:val="de-DE"/>
        </w:rPr>
        <w:t xml:space="preserve">UNIVERSITY OF MICHIGAN, Ann Arbor, MI   </w:t>
        <w:tab/>
      </w:r>
      <w:r>
        <w:rPr>
          <w:sz w:val="21"/>
          <w:szCs w:val="21"/>
          <w:rtl w:val="0"/>
          <w:lang w:val="en-US"/>
        </w:rPr>
        <w:t xml:space="preserve">1995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1997</w:t>
      </w: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Master of Business Administration</w:t>
      </w:r>
      <w:r>
        <w:rPr>
          <w:sz w:val="21"/>
          <w:szCs w:val="21"/>
          <w:rtl w:val="0"/>
          <w:lang w:val="en-US"/>
        </w:rPr>
        <w:t>, May 1997.  Graduated in top 10% of class.</w:t>
      </w:r>
    </w:p>
    <w:p>
      <w:pPr>
        <w:pStyle w:val="Body A"/>
        <w:ind w:left="400" w:firstLine="0"/>
        <w:rPr>
          <w:sz w:val="21"/>
          <w:szCs w:val="21"/>
        </w:rPr>
      </w:pP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  <w:rtl w:val="0"/>
          <w:lang w:val="en-US"/>
        </w:rPr>
        <w:t xml:space="preserve">YALE UNIVERSITY, New Haven, CT   </w:t>
        <w:tab/>
        <w:t xml:space="preserve">1987 </w:t>
      </w:r>
      <w:r>
        <w:rPr>
          <w:sz w:val="21"/>
          <w:szCs w:val="21"/>
          <w:rtl w:val="0"/>
          <w:lang w:val="en-US"/>
        </w:rPr>
        <w:t xml:space="preserve">– </w:t>
      </w:r>
      <w:r>
        <w:rPr>
          <w:sz w:val="21"/>
          <w:szCs w:val="21"/>
          <w:rtl w:val="0"/>
          <w:lang w:val="en-US"/>
        </w:rPr>
        <w:t>1991</w:t>
      </w:r>
    </w:p>
    <w:p>
      <w:pPr>
        <w:pStyle w:val="Body A"/>
        <w:tabs>
          <w:tab w:val="right" w:pos="9900"/>
        </w:tabs>
        <w:rPr>
          <w:sz w:val="21"/>
          <w:szCs w:val="21"/>
        </w:rPr>
      </w:pPr>
      <w:r>
        <w:rPr>
          <w:rFonts w:ascii="Times New Roman Bold"/>
          <w:sz w:val="21"/>
          <w:szCs w:val="21"/>
          <w:rtl w:val="0"/>
          <w:lang w:val="en-US"/>
        </w:rPr>
        <w:t>Bachelor of Arts in Englis</w:t>
      </w:r>
      <w:r>
        <w:rPr>
          <w:rFonts w:ascii="Times New Roman Bold"/>
          <w:sz w:val="21"/>
          <w:szCs w:val="21"/>
          <w:rtl w:val="0"/>
          <w:lang w:val="en-US"/>
        </w:rPr>
        <w:t xml:space="preserve">h </w:t>
      </w:r>
      <w:r>
        <w:rPr>
          <w:rFonts w:ascii="Times New Roman Bold"/>
          <w:sz w:val="21"/>
          <w:szCs w:val="21"/>
          <w:rtl w:val="0"/>
          <w:lang w:val="en-US"/>
        </w:rPr>
        <w:t>Magna cum Laude</w:t>
      </w:r>
      <w:r>
        <w:rPr>
          <w:sz w:val="21"/>
          <w:szCs w:val="21"/>
          <w:rtl w:val="0"/>
          <w:lang w:val="en-US"/>
        </w:rPr>
        <w:t>, May 1991.  Tutored physics and chemistry.</w:t>
      </w:r>
    </w:p>
    <w:p>
      <w:pPr>
        <w:pStyle w:val="Heading"/>
        <w:spacing w:after="0"/>
      </w:pPr>
      <w:r>
        <w:rPr>
          <w:rFonts w:ascii="Times New Roman"/>
          <w:kern w:val="0"/>
          <w:sz w:val="21"/>
          <w:szCs w:val="21"/>
          <w:rtl w:val="0"/>
          <w:lang w:val="en-US"/>
        </w:rPr>
        <w:t>Industry specific training include UCLA Medical Marketing Program (2001), Harvard High Potentials</w:t>
      </w:r>
      <w:r>
        <w:rPr>
          <w:rFonts w:hAnsi="Arial Bold" w:hint="default"/>
          <w:kern w:val="0"/>
          <w:sz w:val="21"/>
          <w:szCs w:val="21"/>
          <w:rtl w:val="0"/>
          <w:lang w:val="en-US"/>
        </w:rPr>
        <w:t> </w:t>
      </w:r>
      <w:r>
        <w:rPr>
          <w:rFonts w:ascii="Times New Roman"/>
          <w:kern w:val="0"/>
          <w:sz w:val="21"/>
          <w:szCs w:val="21"/>
          <w:rtl w:val="0"/>
          <w:lang w:val="en-US"/>
        </w:rPr>
        <w:t>Leadership Program (2006), Financial and Valuation Modeling Boot Camp (2008),  AMA Social Media for Pharma (2012)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864" w:bottom="720" w:left="86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86"/>
          <w:tab w:val="clear" w:pos="0"/>
        </w:tabs>
        <w:ind w:left="486" w:hanging="360"/>
      </w:pPr>
      <w:rPr>
        <w:position w:val="0"/>
        <w:sz w:val="21"/>
        <w:szCs w:val="21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86"/>
          <w:tab w:val="clear" w:pos="0"/>
        </w:tabs>
        <w:ind w:left="486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266"/>
          <w:tab w:val="clear" w:pos="0"/>
        </w:tabs>
        <w:ind w:left="1266" w:hanging="185"/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986"/>
          <w:tab w:val="clear" w:pos="0"/>
        </w:tabs>
        <w:ind w:left="1986" w:hanging="186"/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706"/>
          <w:tab w:val="clear" w:pos="0"/>
        </w:tabs>
        <w:ind w:left="2706" w:hanging="185"/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426"/>
          <w:tab w:val="clear" w:pos="0"/>
        </w:tabs>
        <w:ind w:left="3426" w:hanging="185"/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146"/>
          <w:tab w:val="clear" w:pos="0"/>
        </w:tabs>
        <w:ind w:left="4146" w:hanging="185"/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866"/>
          <w:tab w:val="clear" w:pos="0"/>
        </w:tabs>
        <w:ind w:left="4866" w:hanging="185"/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585"/>
          <w:tab w:val="clear" w:pos="0"/>
        </w:tabs>
        <w:ind w:left="5585" w:hanging="185"/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305"/>
          <w:tab w:val="clear" w:pos="0"/>
        </w:tabs>
        <w:ind w:left="6305" w:hanging="185"/>
      </w:pPr>
      <w:rPr>
        <w:position w:val="0"/>
        <w:sz w:val="21"/>
        <w:szCs w:val="21"/>
        <w:rtl w:val="0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•"/>
      <w:lvlJc w:val="left"/>
      <w:pPr>
        <w:tabs>
          <w:tab w:val="num" w:pos="576"/>
          <w:tab w:val="clear" w:pos="0"/>
        </w:tabs>
        <w:ind w:left="576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4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0">
    <w:multiLevelType w:val="multilevel"/>
    <w:styleLink w:val="List 1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5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3">
    <w:multiLevelType w:val="multilevel"/>
    <w:styleLink w:val="List 1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5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6">
    <w:multiLevelType w:val="multilevel"/>
    <w:styleLink w:val="List 1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5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5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9">
    <w:multiLevelType w:val="multilevel"/>
    <w:styleLink w:val="List 1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2">
    <w:multiLevelType w:val="multilevel"/>
    <w:styleLink w:val="List 2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5">
    <w:multiLevelType w:val="multilevel"/>
    <w:styleLink w:val="List 2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8">
    <w:multiLevelType w:val="multilevel"/>
    <w:styleLink w:val="List 2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6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1"/>
          <w:tab w:val="clear" w:pos="0"/>
        </w:tabs>
        <w:ind w:left="771" w:hanging="411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1">
    <w:multiLevelType w:val="multilevel"/>
    <w:styleLink w:val="List 23"/>
    <w:lvl w:ilvl="0">
      <w:start w:val="0"/>
      <w:numFmt w:val="bullet"/>
      <w:suff w:val="tab"/>
      <w:lvlText w:val="•"/>
      <w:lvlJc w:val="left"/>
      <w:pPr>
        <w:tabs>
          <w:tab w:val="num" w:pos="771"/>
          <w:tab w:val="clear" w:pos="0"/>
        </w:tabs>
        <w:ind w:left="771" w:hanging="411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1"/>
          <w:tab w:val="clear" w:pos="0"/>
        </w:tabs>
        <w:ind w:left="771" w:hanging="411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4">
    <w:multiLevelType w:val="multilevel"/>
    <w:styleLink w:val="List 24"/>
    <w:lvl w:ilvl="0">
      <w:start w:val="0"/>
      <w:numFmt w:val="bullet"/>
      <w:suff w:val="tab"/>
      <w:lvlText w:val="•"/>
      <w:lvlJc w:val="left"/>
      <w:pPr>
        <w:tabs>
          <w:tab w:val="num" w:pos="771"/>
          <w:tab w:val="clear" w:pos="0"/>
        </w:tabs>
        <w:ind w:left="771" w:hanging="411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1"/>
          <w:tab w:val="clear" w:pos="0"/>
        </w:tabs>
        <w:ind w:left="771" w:hanging="411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7">
    <w:multiLevelType w:val="multilevel"/>
    <w:styleLink w:val="List 25"/>
    <w:lvl w:ilvl="0">
      <w:start w:val="0"/>
      <w:numFmt w:val="bullet"/>
      <w:suff w:val="tab"/>
      <w:lvlText w:val="•"/>
      <w:lvlJc w:val="left"/>
      <w:pPr>
        <w:tabs>
          <w:tab w:val="num" w:pos="771"/>
          <w:tab w:val="clear" w:pos="0"/>
        </w:tabs>
        <w:ind w:left="771" w:hanging="411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abstractNum w:abstractNumId="7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0">
    <w:multiLevelType w:val="multilevel"/>
    <w:styleLink w:val="List 2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0"/>
          <w:tab w:val="clear" w:pos="0"/>
        </w:tabs>
      </w:pPr>
      <w:rPr>
        <w:position w:val="0"/>
        <w:sz w:val="21"/>
        <w:szCs w:val="21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numbering" w:styleId="List 6">
    <w:name w:val="List 6"/>
    <w:basedOn w:val="Imported Style 7"/>
    <w:next w:val="List 6"/>
    <w:pPr>
      <w:numPr>
        <w:numId w:val="19"/>
      </w:numPr>
    </w:pPr>
  </w:style>
  <w:style w:type="numbering" w:styleId="Imported Style 7">
    <w:name w:val="Imported Style 7"/>
    <w:next w:val="Imported Style 7"/>
    <w:pPr>
      <w:numPr>
        <w:numId w:val="20"/>
      </w:numPr>
    </w:pPr>
  </w:style>
  <w:style w:type="numbering" w:styleId="List 7">
    <w:name w:val="List 7"/>
    <w:basedOn w:val="Imported Style 8"/>
    <w:next w:val="List 7"/>
    <w:pPr>
      <w:numPr>
        <w:numId w:val="22"/>
      </w:numPr>
    </w:pPr>
  </w:style>
  <w:style w:type="numbering" w:styleId="Imported Style 8">
    <w:name w:val="Imported Style 8"/>
    <w:next w:val="Imported Style 8"/>
    <w:pPr>
      <w:numPr>
        <w:numId w:val="23"/>
      </w:numPr>
    </w:pPr>
  </w:style>
  <w:style w:type="numbering" w:styleId="List 8">
    <w:name w:val="List 8"/>
    <w:basedOn w:val="Imported Style 9"/>
    <w:next w:val="List 8"/>
    <w:pPr>
      <w:numPr>
        <w:numId w:val="25"/>
      </w:numPr>
    </w:pPr>
  </w:style>
  <w:style w:type="numbering" w:styleId="Imported Style 9">
    <w:name w:val="Imported Style 9"/>
    <w:next w:val="Imported Style 9"/>
    <w:pPr>
      <w:numPr>
        <w:numId w:val="26"/>
      </w:numPr>
    </w:pPr>
  </w:style>
  <w:style w:type="numbering" w:styleId="List 9">
    <w:name w:val="List 9"/>
    <w:basedOn w:val="Imported Style 10"/>
    <w:next w:val="List 9"/>
    <w:pPr>
      <w:numPr>
        <w:numId w:val="28"/>
      </w:numPr>
    </w:pPr>
  </w:style>
  <w:style w:type="numbering" w:styleId="Imported Style 10">
    <w:name w:val="Imported Style 10"/>
    <w:next w:val="Imported Style 10"/>
    <w:pPr>
      <w:numPr>
        <w:numId w:val="29"/>
      </w:numPr>
    </w:pPr>
  </w:style>
  <w:style w:type="numbering" w:styleId="List 10">
    <w:name w:val="List 10"/>
    <w:basedOn w:val="Imported Style 11"/>
    <w:next w:val="List 10"/>
    <w:pPr>
      <w:numPr>
        <w:numId w:val="31"/>
      </w:numPr>
    </w:pPr>
  </w:style>
  <w:style w:type="numbering" w:styleId="Imported Style 11">
    <w:name w:val="Imported Style 11"/>
    <w:next w:val="Imported Style 11"/>
    <w:pPr>
      <w:numPr>
        <w:numId w:val="32"/>
      </w:numPr>
    </w:pPr>
  </w:style>
  <w:style w:type="numbering" w:styleId="List 11">
    <w:name w:val="List 11"/>
    <w:basedOn w:val="Imported Style 12"/>
    <w:next w:val="List 11"/>
    <w:pPr>
      <w:numPr>
        <w:numId w:val="34"/>
      </w:numPr>
    </w:pPr>
  </w:style>
  <w:style w:type="numbering" w:styleId="Imported Style 12">
    <w:name w:val="Imported Style 12"/>
    <w:next w:val="Imported Style 12"/>
    <w:pPr>
      <w:numPr>
        <w:numId w:val="35"/>
      </w:numPr>
    </w:pPr>
  </w:style>
  <w:style w:type="numbering" w:styleId="List 12">
    <w:name w:val="List 12"/>
    <w:basedOn w:val="Imported Style 13"/>
    <w:next w:val="List 12"/>
    <w:pPr>
      <w:numPr>
        <w:numId w:val="37"/>
      </w:numPr>
    </w:pPr>
  </w:style>
  <w:style w:type="numbering" w:styleId="Imported Style 13">
    <w:name w:val="Imported Style 13"/>
    <w:next w:val="Imported Style 13"/>
    <w:pPr>
      <w:numPr>
        <w:numId w:val="38"/>
      </w:numPr>
    </w:pPr>
  </w:style>
  <w:style w:type="numbering" w:styleId="List 13">
    <w:name w:val="List 13"/>
    <w:basedOn w:val="Imported Style 14"/>
    <w:next w:val="List 13"/>
    <w:pPr>
      <w:numPr>
        <w:numId w:val="40"/>
      </w:numPr>
    </w:pPr>
  </w:style>
  <w:style w:type="numbering" w:styleId="Imported Style 14">
    <w:name w:val="Imported Style 14"/>
    <w:next w:val="Imported Style 14"/>
    <w:pPr>
      <w:numPr>
        <w:numId w:val="41"/>
      </w:numPr>
    </w:pPr>
  </w:style>
  <w:style w:type="numbering" w:styleId="List 14">
    <w:name w:val="List 14"/>
    <w:basedOn w:val="Imported Style 15"/>
    <w:next w:val="List 14"/>
    <w:pPr>
      <w:numPr>
        <w:numId w:val="43"/>
      </w:numPr>
    </w:pPr>
  </w:style>
  <w:style w:type="numbering" w:styleId="Imported Style 15">
    <w:name w:val="Imported Style 15"/>
    <w:next w:val="Imported Style 15"/>
    <w:pPr>
      <w:numPr>
        <w:numId w:val="44"/>
      </w:numPr>
    </w:pPr>
  </w:style>
  <w:style w:type="numbering" w:styleId="List 15">
    <w:name w:val="List 15"/>
    <w:basedOn w:val="Imported Style 16"/>
    <w:next w:val="List 15"/>
    <w:pPr>
      <w:numPr>
        <w:numId w:val="46"/>
      </w:numPr>
    </w:pPr>
  </w:style>
  <w:style w:type="numbering" w:styleId="Imported Style 16">
    <w:name w:val="Imported Style 16"/>
    <w:next w:val="Imported Style 16"/>
    <w:pPr>
      <w:numPr>
        <w:numId w:val="47"/>
      </w:numPr>
    </w:pPr>
  </w:style>
  <w:style w:type="numbering" w:styleId="List 16">
    <w:name w:val="List 16"/>
    <w:basedOn w:val="Imported Style 17"/>
    <w:next w:val="List 16"/>
    <w:pPr>
      <w:numPr>
        <w:numId w:val="49"/>
      </w:numPr>
    </w:pPr>
  </w:style>
  <w:style w:type="numbering" w:styleId="Imported Style 17">
    <w:name w:val="Imported Style 17"/>
    <w:next w:val="Imported Style 17"/>
    <w:pPr>
      <w:numPr>
        <w:numId w:val="50"/>
      </w:numPr>
    </w:pPr>
  </w:style>
  <w:style w:type="numbering" w:styleId="List 17">
    <w:name w:val="List 17"/>
    <w:basedOn w:val="Imported Style 18"/>
    <w:next w:val="List 17"/>
    <w:pPr>
      <w:numPr>
        <w:numId w:val="52"/>
      </w:numPr>
    </w:pPr>
  </w:style>
  <w:style w:type="numbering" w:styleId="Imported Style 18">
    <w:name w:val="Imported Style 18"/>
    <w:next w:val="Imported Style 18"/>
    <w:pPr>
      <w:numPr>
        <w:numId w:val="53"/>
      </w:numPr>
    </w:pPr>
  </w:style>
  <w:style w:type="numbering" w:styleId="List 18">
    <w:name w:val="List 18"/>
    <w:basedOn w:val="Imported Style 19"/>
    <w:next w:val="List 18"/>
    <w:pPr>
      <w:numPr>
        <w:numId w:val="55"/>
      </w:numPr>
    </w:pPr>
  </w:style>
  <w:style w:type="numbering" w:styleId="Imported Style 19">
    <w:name w:val="Imported Style 19"/>
    <w:next w:val="Imported Style 19"/>
    <w:pPr>
      <w:numPr>
        <w:numId w:val="56"/>
      </w:numPr>
    </w:pPr>
  </w:style>
  <w:style w:type="numbering" w:styleId="List 19">
    <w:name w:val="List 19"/>
    <w:basedOn w:val="Imported Style 20"/>
    <w:next w:val="List 19"/>
    <w:pPr>
      <w:numPr>
        <w:numId w:val="58"/>
      </w:numPr>
    </w:pPr>
  </w:style>
  <w:style w:type="numbering" w:styleId="Imported Style 20">
    <w:name w:val="Imported Style 20"/>
    <w:next w:val="Imported Style 20"/>
    <w:pPr>
      <w:numPr>
        <w:numId w:val="59"/>
      </w:numPr>
    </w:pPr>
  </w:style>
  <w:style w:type="numbering" w:styleId="List 20">
    <w:name w:val="List 20"/>
    <w:basedOn w:val="Imported Style 21"/>
    <w:next w:val="List 20"/>
    <w:pPr>
      <w:numPr>
        <w:numId w:val="61"/>
      </w:numPr>
    </w:pPr>
  </w:style>
  <w:style w:type="numbering" w:styleId="Imported Style 21">
    <w:name w:val="Imported Style 21"/>
    <w:next w:val="Imported Style 21"/>
    <w:pPr>
      <w:numPr>
        <w:numId w:val="62"/>
      </w:numPr>
    </w:pPr>
  </w:style>
  <w:style w:type="numbering" w:styleId="List 21">
    <w:name w:val="List 21"/>
    <w:basedOn w:val="Imported Style 22"/>
    <w:next w:val="List 21"/>
    <w:pPr>
      <w:numPr>
        <w:numId w:val="64"/>
      </w:numPr>
    </w:pPr>
  </w:style>
  <w:style w:type="numbering" w:styleId="Imported Style 22">
    <w:name w:val="Imported Style 22"/>
    <w:next w:val="Imported Style 22"/>
    <w:pPr>
      <w:numPr>
        <w:numId w:val="65"/>
      </w:numPr>
    </w:pPr>
  </w:style>
  <w:style w:type="numbering" w:styleId="List 22">
    <w:name w:val="List 22"/>
    <w:basedOn w:val="Imported Style 23"/>
    <w:next w:val="List 22"/>
    <w:pPr>
      <w:numPr>
        <w:numId w:val="67"/>
      </w:numPr>
    </w:pPr>
  </w:style>
  <w:style w:type="numbering" w:styleId="Imported Style 23">
    <w:name w:val="Imported Style 23"/>
    <w:next w:val="Imported Style 23"/>
    <w:pPr>
      <w:numPr>
        <w:numId w:val="68"/>
      </w:numPr>
    </w:pPr>
  </w:style>
  <w:style w:type="numbering" w:styleId="List 23">
    <w:name w:val="List 23"/>
    <w:basedOn w:val="Imported Style 24"/>
    <w:next w:val="List 23"/>
    <w:pPr>
      <w:numPr>
        <w:numId w:val="70"/>
      </w:numPr>
    </w:pPr>
  </w:style>
  <w:style w:type="numbering" w:styleId="Imported Style 24">
    <w:name w:val="Imported Style 24"/>
    <w:next w:val="Imported Style 24"/>
    <w:pPr>
      <w:numPr>
        <w:numId w:val="71"/>
      </w:numPr>
    </w:pPr>
  </w:style>
  <w:style w:type="numbering" w:styleId="List 24">
    <w:name w:val="List 24"/>
    <w:basedOn w:val="Imported Style 25"/>
    <w:next w:val="List 24"/>
    <w:pPr>
      <w:numPr>
        <w:numId w:val="73"/>
      </w:numPr>
    </w:pPr>
  </w:style>
  <w:style w:type="numbering" w:styleId="Imported Style 25">
    <w:name w:val="Imported Style 25"/>
    <w:next w:val="Imported Style 25"/>
    <w:pPr>
      <w:numPr>
        <w:numId w:val="74"/>
      </w:numPr>
    </w:pPr>
  </w:style>
  <w:style w:type="numbering" w:styleId="List 25">
    <w:name w:val="List 25"/>
    <w:basedOn w:val="Imported Style 26"/>
    <w:next w:val="List 25"/>
    <w:pPr>
      <w:numPr>
        <w:numId w:val="76"/>
      </w:numPr>
    </w:pPr>
  </w:style>
  <w:style w:type="numbering" w:styleId="Imported Style 26">
    <w:name w:val="Imported Style 26"/>
    <w:next w:val="Imported Style 26"/>
    <w:pPr>
      <w:numPr>
        <w:numId w:val="77"/>
      </w:numPr>
    </w:pPr>
  </w:style>
  <w:style w:type="numbering" w:styleId="List 26">
    <w:name w:val="List 26"/>
    <w:basedOn w:val="Imported Style 27"/>
    <w:next w:val="List 26"/>
    <w:pPr>
      <w:numPr>
        <w:numId w:val="79"/>
      </w:numPr>
    </w:pPr>
  </w:style>
  <w:style w:type="numbering" w:styleId="Imported Style 27">
    <w:name w:val="Imported Style 27"/>
    <w:next w:val="Imported Style 27"/>
    <w:pPr>
      <w:numPr>
        <w:numId w:val="80"/>
      </w:numPr>
    </w:p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